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4795C" w14:textId="1DD5A8F6" w:rsidR="00B557BE" w:rsidRDefault="00B557BE">
      <w:pPr>
        <w:rPr>
          <w:b/>
          <w:bCs/>
          <w:u w:val="single"/>
        </w:rPr>
      </w:pPr>
      <w:r>
        <w:rPr>
          <w:noProof/>
          <w:lang w:eastAsia="nl-NL"/>
        </w:rPr>
        <w:drawing>
          <wp:anchor distT="0" distB="0" distL="114300" distR="114300" simplePos="0" relativeHeight="251658240" behindDoc="0" locked="0" layoutInCell="1" allowOverlap="1" wp14:anchorId="75BBA1EE" wp14:editId="74A3B4DF">
            <wp:simplePos x="0" y="0"/>
            <wp:positionH relativeFrom="column">
              <wp:posOffset>4445</wp:posOffset>
            </wp:positionH>
            <wp:positionV relativeFrom="paragraph">
              <wp:posOffset>3810</wp:posOffset>
            </wp:positionV>
            <wp:extent cx="1973458" cy="1152525"/>
            <wp:effectExtent l="0" t="0" r="8255" b="0"/>
            <wp:wrapSquare wrapText="bothSides"/>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3458" cy="1152525"/>
                    </a:xfrm>
                    <a:prstGeom prst="rect">
                      <a:avLst/>
                    </a:prstGeom>
                  </pic:spPr>
                </pic:pic>
              </a:graphicData>
            </a:graphic>
          </wp:anchor>
        </w:drawing>
      </w:r>
    </w:p>
    <w:p w14:paraId="429A9267" w14:textId="5807B0E5" w:rsidR="00B557BE" w:rsidRDefault="00A74A8C">
      <w:pPr>
        <w:rPr>
          <w:b/>
          <w:bCs/>
          <w:u w:val="single"/>
        </w:rPr>
      </w:pPr>
      <w:r>
        <w:rPr>
          <w:noProof/>
          <w:lang w:eastAsia="nl-NL"/>
        </w:rPr>
        <w:drawing>
          <wp:anchor distT="0" distB="0" distL="114300" distR="114300" simplePos="0" relativeHeight="251661312" behindDoc="0" locked="0" layoutInCell="1" allowOverlap="1" wp14:anchorId="01DCFCE9" wp14:editId="4CC9E998">
            <wp:simplePos x="0" y="0"/>
            <wp:positionH relativeFrom="column">
              <wp:posOffset>4519295</wp:posOffset>
            </wp:positionH>
            <wp:positionV relativeFrom="paragraph">
              <wp:posOffset>174625</wp:posOffset>
            </wp:positionV>
            <wp:extent cx="1171575" cy="575310"/>
            <wp:effectExtent l="0" t="0" r="9525" b="0"/>
            <wp:wrapSquare wrapText="bothSides"/>
            <wp:docPr id="742553005" name="Afbeelding 3"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553005" name="Afbeelding 3" descr="Afbeelding met Graphics, Lettertype, grafische vormgeving, logo&#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575310"/>
                    </a:xfrm>
                    <a:prstGeom prst="rect">
                      <a:avLst/>
                    </a:prstGeom>
                  </pic:spPr>
                </pic:pic>
              </a:graphicData>
            </a:graphic>
          </wp:anchor>
        </w:drawing>
      </w:r>
    </w:p>
    <w:p w14:paraId="7FB2CD20" w14:textId="2DCCD6B0" w:rsidR="00B557BE" w:rsidRDefault="00A74A8C">
      <w:pPr>
        <w:rPr>
          <w:b/>
          <w:bCs/>
          <w:u w:val="single"/>
        </w:rPr>
      </w:pPr>
      <w:r>
        <w:rPr>
          <w:noProof/>
          <w:lang w:eastAsia="nl-NL"/>
        </w:rPr>
        <w:drawing>
          <wp:anchor distT="0" distB="0" distL="114300" distR="114300" simplePos="0" relativeHeight="251659264" behindDoc="0" locked="0" layoutInCell="1" allowOverlap="1" wp14:anchorId="0B113807" wp14:editId="28964C50">
            <wp:simplePos x="0" y="0"/>
            <wp:positionH relativeFrom="column">
              <wp:posOffset>2223770</wp:posOffset>
            </wp:positionH>
            <wp:positionV relativeFrom="paragraph">
              <wp:posOffset>29210</wp:posOffset>
            </wp:positionV>
            <wp:extent cx="1995170" cy="542925"/>
            <wp:effectExtent l="0" t="0" r="508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170" cy="542925"/>
                    </a:xfrm>
                    <a:prstGeom prst="rect">
                      <a:avLst/>
                    </a:prstGeom>
                    <a:noFill/>
                    <a:ln>
                      <a:noFill/>
                    </a:ln>
                  </pic:spPr>
                </pic:pic>
              </a:graphicData>
            </a:graphic>
          </wp:anchor>
        </w:drawing>
      </w:r>
    </w:p>
    <w:p w14:paraId="4D11044C" w14:textId="2F2F53A8" w:rsidR="00B557BE" w:rsidRDefault="00B557BE">
      <w:pPr>
        <w:rPr>
          <w:b/>
          <w:bCs/>
          <w:u w:val="single"/>
        </w:rPr>
      </w:pPr>
    </w:p>
    <w:p w14:paraId="124E3423" w14:textId="23653FBB" w:rsidR="00C61C88" w:rsidRPr="00A74A8C" w:rsidRDefault="00572013">
      <w:pPr>
        <w:rPr>
          <w:b/>
          <w:bCs/>
          <w:sz w:val="24"/>
          <w:szCs w:val="24"/>
        </w:rPr>
      </w:pPr>
      <w:r w:rsidRPr="00A74A8C">
        <w:rPr>
          <w:b/>
          <w:bCs/>
          <w:sz w:val="24"/>
          <w:szCs w:val="24"/>
        </w:rPr>
        <w:t>PERSBERICHT</w:t>
      </w:r>
    </w:p>
    <w:p w14:paraId="2C53A794" w14:textId="4F9EBB5F" w:rsidR="00572013" w:rsidRPr="00A74A8C" w:rsidRDefault="00A74A8C">
      <w:pPr>
        <w:rPr>
          <w:bCs/>
          <w:i/>
        </w:rPr>
      </w:pPr>
      <w:r w:rsidRPr="00A74A8C">
        <w:rPr>
          <w:bCs/>
          <w:i/>
        </w:rPr>
        <w:t>25 oktober 2023</w:t>
      </w:r>
    </w:p>
    <w:p w14:paraId="0B456EE8" w14:textId="77777777" w:rsidR="00A74A8C" w:rsidRDefault="00A74A8C">
      <w:pPr>
        <w:rPr>
          <w:b/>
          <w:bCs/>
        </w:rPr>
      </w:pPr>
    </w:p>
    <w:p w14:paraId="5298D936" w14:textId="6649D85F" w:rsidR="00572013" w:rsidRDefault="00572013">
      <w:pPr>
        <w:rPr>
          <w:b/>
          <w:bCs/>
        </w:rPr>
      </w:pPr>
      <w:r>
        <w:rPr>
          <w:b/>
          <w:bCs/>
        </w:rPr>
        <w:t>DRAAIBOEKEN WATEROVERLAST VOOR MUSEA, ARCHIEVEN, BIBLIOTHEKEN EN MONUMENTEN</w:t>
      </w:r>
    </w:p>
    <w:p w14:paraId="39FE8FB3" w14:textId="75DBA209" w:rsidR="00572013" w:rsidRDefault="00572013">
      <w:pPr>
        <w:rPr>
          <w:b/>
          <w:bCs/>
        </w:rPr>
      </w:pPr>
    </w:p>
    <w:p w14:paraId="05E43593" w14:textId="35EFF450" w:rsidR="00572013" w:rsidRDefault="00572013">
      <w:pPr>
        <w:rPr>
          <w:b/>
          <w:bCs/>
          <w:sz w:val="24"/>
          <w:szCs w:val="24"/>
        </w:rPr>
      </w:pPr>
      <w:r w:rsidRPr="004031AF">
        <w:rPr>
          <w:b/>
          <w:bCs/>
          <w:sz w:val="24"/>
          <w:szCs w:val="24"/>
        </w:rPr>
        <w:t>Tijdens de hoogwatercrisis van 2021 werden 3 musea</w:t>
      </w:r>
      <w:r w:rsidR="00A45890">
        <w:rPr>
          <w:b/>
          <w:bCs/>
          <w:sz w:val="24"/>
          <w:szCs w:val="24"/>
        </w:rPr>
        <w:t xml:space="preserve"> en 136 monumenten </w:t>
      </w:r>
      <w:r w:rsidRPr="004031AF">
        <w:rPr>
          <w:b/>
          <w:bCs/>
          <w:sz w:val="24"/>
          <w:szCs w:val="24"/>
        </w:rPr>
        <w:t>getroffen</w:t>
      </w:r>
      <w:r w:rsidR="00EA6086">
        <w:rPr>
          <w:b/>
          <w:bCs/>
          <w:sz w:val="24"/>
          <w:szCs w:val="24"/>
        </w:rPr>
        <w:t xml:space="preserve"> door wateroverlast</w:t>
      </w:r>
      <w:r w:rsidRPr="004031AF">
        <w:rPr>
          <w:b/>
          <w:bCs/>
          <w:sz w:val="24"/>
          <w:szCs w:val="24"/>
        </w:rPr>
        <w:t xml:space="preserve">. Reden voor het Huis voor de Kunsten Limburg, de Monumentenwacht Limburg en </w:t>
      </w:r>
      <w:r w:rsidR="00EA6086">
        <w:rPr>
          <w:b/>
          <w:bCs/>
          <w:sz w:val="24"/>
          <w:szCs w:val="24"/>
        </w:rPr>
        <w:t xml:space="preserve">het programma </w:t>
      </w:r>
      <w:r w:rsidRPr="004031AF">
        <w:rPr>
          <w:b/>
          <w:bCs/>
          <w:sz w:val="24"/>
          <w:szCs w:val="24"/>
        </w:rPr>
        <w:t>Waterveiligheid en Ruimte Limburg</w:t>
      </w:r>
      <w:r w:rsidR="007D2613">
        <w:rPr>
          <w:b/>
          <w:bCs/>
          <w:sz w:val="24"/>
          <w:szCs w:val="24"/>
        </w:rPr>
        <w:t xml:space="preserve"> (WRL)</w:t>
      </w:r>
      <w:r w:rsidR="00A45890">
        <w:rPr>
          <w:b/>
          <w:bCs/>
          <w:sz w:val="24"/>
          <w:szCs w:val="24"/>
        </w:rPr>
        <w:t xml:space="preserve"> om samen draaiboeken op te stellen. </w:t>
      </w:r>
      <w:r w:rsidR="00151A47">
        <w:rPr>
          <w:b/>
          <w:bCs/>
          <w:sz w:val="24"/>
          <w:szCs w:val="24"/>
        </w:rPr>
        <w:t>In de draaiboeken vinden</w:t>
      </w:r>
      <w:r w:rsidR="00692828">
        <w:rPr>
          <w:b/>
          <w:bCs/>
          <w:sz w:val="24"/>
          <w:szCs w:val="24"/>
        </w:rPr>
        <w:t xml:space="preserve"> musea en eigenaren van monumenten </w:t>
      </w:r>
      <w:r w:rsidR="00151A47">
        <w:rPr>
          <w:b/>
          <w:bCs/>
          <w:sz w:val="24"/>
          <w:szCs w:val="24"/>
        </w:rPr>
        <w:t xml:space="preserve">concrete acties </w:t>
      </w:r>
      <w:r w:rsidR="00692828">
        <w:rPr>
          <w:b/>
          <w:bCs/>
          <w:sz w:val="24"/>
          <w:szCs w:val="24"/>
        </w:rPr>
        <w:t xml:space="preserve">om schade door waterlast te beperken. </w:t>
      </w:r>
    </w:p>
    <w:p w14:paraId="6BA8FDDB" w14:textId="005EE9AC" w:rsidR="00831A7E" w:rsidRPr="004031AF" w:rsidRDefault="00CC56F5">
      <w:pPr>
        <w:rPr>
          <w:b/>
          <w:bCs/>
          <w:sz w:val="24"/>
          <w:szCs w:val="24"/>
        </w:rPr>
      </w:pPr>
      <w:r w:rsidRPr="00CC56F5">
        <w:rPr>
          <w:b/>
          <w:bCs/>
          <w:sz w:val="24"/>
          <w:szCs w:val="24"/>
        </w:rPr>
        <w:t>O</w:t>
      </w:r>
      <w:r w:rsidR="00831A7E" w:rsidRPr="00CC56F5">
        <w:rPr>
          <w:b/>
          <w:bCs/>
          <w:sz w:val="24"/>
          <w:szCs w:val="24"/>
        </w:rPr>
        <w:t>p woensdag 25 oktober</w:t>
      </w:r>
      <w:r w:rsidRPr="00CC56F5">
        <w:rPr>
          <w:b/>
          <w:bCs/>
          <w:sz w:val="24"/>
          <w:szCs w:val="24"/>
        </w:rPr>
        <w:t xml:space="preserve"> overhandigde g</w:t>
      </w:r>
      <w:r w:rsidR="00831A7E" w:rsidRPr="00CC56F5">
        <w:rPr>
          <w:b/>
          <w:bCs/>
          <w:sz w:val="24"/>
          <w:szCs w:val="24"/>
        </w:rPr>
        <w:t>edeputeerde Michael Theuns</w:t>
      </w:r>
      <w:r w:rsidRPr="00CC56F5">
        <w:rPr>
          <w:b/>
          <w:bCs/>
          <w:sz w:val="24"/>
          <w:szCs w:val="24"/>
        </w:rPr>
        <w:t>, bestuurlijk voorzitter van WRL, de draaiboeken aan</w:t>
      </w:r>
      <w:r w:rsidR="00831A7E" w:rsidRPr="00CC56F5">
        <w:rPr>
          <w:b/>
          <w:bCs/>
          <w:sz w:val="24"/>
          <w:szCs w:val="24"/>
        </w:rPr>
        <w:t xml:space="preserve"> het Limburgs Museum</w:t>
      </w:r>
      <w:r w:rsidRPr="00CC56F5">
        <w:rPr>
          <w:b/>
          <w:bCs/>
          <w:sz w:val="24"/>
          <w:szCs w:val="24"/>
        </w:rPr>
        <w:t xml:space="preserve"> en Monumentenwacht</w:t>
      </w:r>
      <w:r>
        <w:rPr>
          <w:b/>
          <w:bCs/>
          <w:sz w:val="24"/>
          <w:szCs w:val="24"/>
        </w:rPr>
        <w:t xml:space="preserve"> Limburg</w:t>
      </w:r>
      <w:r w:rsidR="00831A7E">
        <w:rPr>
          <w:b/>
          <w:bCs/>
          <w:sz w:val="24"/>
          <w:szCs w:val="24"/>
        </w:rPr>
        <w:t>.</w:t>
      </w:r>
      <w:r>
        <w:rPr>
          <w:b/>
          <w:bCs/>
          <w:sz w:val="24"/>
          <w:szCs w:val="24"/>
        </w:rPr>
        <w:t xml:space="preserve"> “Deze draaiboeken gaan helpen om het mooie erfgoed en collecties dat onze provincie rijk is te beschermen tegen wateroverlast en zo te behouden voor de toekomst.”, aldus Michael Theuns.</w:t>
      </w:r>
    </w:p>
    <w:p w14:paraId="26DCF090" w14:textId="05057E29" w:rsidR="00572013" w:rsidRPr="004031AF" w:rsidRDefault="00572013">
      <w:pPr>
        <w:rPr>
          <w:sz w:val="24"/>
          <w:szCs w:val="24"/>
        </w:rPr>
      </w:pPr>
    </w:p>
    <w:p w14:paraId="45703E2A" w14:textId="224FA5AA" w:rsidR="00283D12" w:rsidRPr="00283D12" w:rsidRDefault="004031AF" w:rsidP="00EA5AF6">
      <w:pPr>
        <w:rPr>
          <w:sz w:val="24"/>
          <w:szCs w:val="24"/>
        </w:rPr>
      </w:pPr>
      <w:r w:rsidRPr="004031AF">
        <w:rPr>
          <w:sz w:val="24"/>
          <w:szCs w:val="24"/>
        </w:rPr>
        <w:t xml:space="preserve">In de wereld van vandaag, waarin klimaatverandering de dreiging van weersextremen vergroot, is het essentieel </w:t>
      </w:r>
      <w:r w:rsidR="00283D12">
        <w:rPr>
          <w:sz w:val="24"/>
          <w:szCs w:val="24"/>
        </w:rPr>
        <w:t xml:space="preserve">om </w:t>
      </w:r>
      <w:r w:rsidRPr="004031AF">
        <w:rPr>
          <w:sz w:val="24"/>
          <w:szCs w:val="24"/>
        </w:rPr>
        <w:t>beter voorbereid te zijn</w:t>
      </w:r>
      <w:r w:rsidR="00EA5AF6">
        <w:rPr>
          <w:sz w:val="24"/>
          <w:szCs w:val="24"/>
        </w:rPr>
        <w:t xml:space="preserve"> op de gevolgen daarvan</w:t>
      </w:r>
      <w:r w:rsidRPr="004031AF">
        <w:rPr>
          <w:sz w:val="24"/>
          <w:szCs w:val="24"/>
        </w:rPr>
        <w:t xml:space="preserve">. </w:t>
      </w:r>
      <w:r w:rsidR="009B2B78">
        <w:rPr>
          <w:sz w:val="24"/>
          <w:szCs w:val="24"/>
        </w:rPr>
        <w:t>Om mensen daarbij te helpen, ontwikkelt WRL diverse producten. Eerder is al</w:t>
      </w:r>
      <w:r w:rsidR="009B2B78" w:rsidRPr="009B2B78">
        <w:rPr>
          <w:sz w:val="24"/>
          <w:szCs w:val="24"/>
        </w:rPr>
        <w:t xml:space="preserve"> een draaiboek voor buurten en kernen gerealiseerd </w:t>
      </w:r>
      <w:r w:rsidR="0043623F">
        <w:rPr>
          <w:sz w:val="24"/>
          <w:szCs w:val="24"/>
        </w:rPr>
        <w:t xml:space="preserve">die aangeven </w:t>
      </w:r>
      <w:r w:rsidR="00283D12">
        <w:rPr>
          <w:sz w:val="24"/>
          <w:szCs w:val="24"/>
        </w:rPr>
        <w:t>wat mensen vooraf (samen) kunnen regelen en doen</w:t>
      </w:r>
      <w:r w:rsidR="00EA6086">
        <w:rPr>
          <w:sz w:val="24"/>
          <w:szCs w:val="24"/>
        </w:rPr>
        <w:t>,</w:t>
      </w:r>
      <w:r w:rsidR="00283D12">
        <w:rPr>
          <w:sz w:val="24"/>
          <w:szCs w:val="24"/>
        </w:rPr>
        <w:t xml:space="preserve"> om zich beter </w:t>
      </w:r>
      <w:r w:rsidR="00B251CE">
        <w:rPr>
          <w:sz w:val="24"/>
          <w:szCs w:val="24"/>
        </w:rPr>
        <w:t xml:space="preserve">voor te bereiden en </w:t>
      </w:r>
      <w:r w:rsidR="00283D12">
        <w:rPr>
          <w:sz w:val="24"/>
          <w:szCs w:val="24"/>
        </w:rPr>
        <w:t xml:space="preserve">te beschermen tegen </w:t>
      </w:r>
      <w:r w:rsidR="0043623F">
        <w:rPr>
          <w:sz w:val="24"/>
          <w:szCs w:val="24"/>
        </w:rPr>
        <w:t xml:space="preserve">wateroverlast. Samen met Huis voor de Kunsten en Monumentenwacht Limburg zijn twee </w:t>
      </w:r>
      <w:r w:rsidR="0078775B">
        <w:rPr>
          <w:sz w:val="24"/>
          <w:szCs w:val="24"/>
        </w:rPr>
        <w:t xml:space="preserve">specifieke </w:t>
      </w:r>
      <w:r w:rsidR="0043623F">
        <w:rPr>
          <w:sz w:val="24"/>
          <w:szCs w:val="24"/>
        </w:rPr>
        <w:t xml:space="preserve">draaiboeken ontwikkeld: </w:t>
      </w:r>
      <w:r w:rsidR="00A45890" w:rsidRPr="0043623F">
        <w:rPr>
          <w:bCs/>
          <w:sz w:val="24"/>
          <w:szCs w:val="24"/>
        </w:rPr>
        <w:t>een draaiboek voor monumenten en een draaiboek voor instellingen met een collectie (zoals musea, archieven en bibliotheken).</w:t>
      </w:r>
      <w:r w:rsidR="00A45890" w:rsidRPr="004031AF">
        <w:rPr>
          <w:b/>
          <w:bCs/>
          <w:sz w:val="24"/>
          <w:szCs w:val="24"/>
        </w:rPr>
        <w:t xml:space="preserve"> </w:t>
      </w:r>
      <w:r w:rsidR="0043623F" w:rsidRPr="0043623F">
        <w:rPr>
          <w:bCs/>
          <w:sz w:val="24"/>
          <w:szCs w:val="24"/>
        </w:rPr>
        <w:t>Dez</w:t>
      </w:r>
      <w:r w:rsidR="0078775B">
        <w:rPr>
          <w:bCs/>
          <w:sz w:val="24"/>
          <w:szCs w:val="24"/>
        </w:rPr>
        <w:t>e</w:t>
      </w:r>
      <w:r w:rsidR="0043623F" w:rsidRPr="0043623F">
        <w:rPr>
          <w:bCs/>
          <w:sz w:val="24"/>
          <w:szCs w:val="24"/>
        </w:rPr>
        <w:t xml:space="preserve"> draaiboeken zijn gemaakt omdat</w:t>
      </w:r>
      <w:r w:rsidR="0043623F">
        <w:rPr>
          <w:b/>
          <w:bCs/>
          <w:sz w:val="24"/>
          <w:szCs w:val="24"/>
        </w:rPr>
        <w:t xml:space="preserve"> </w:t>
      </w:r>
      <w:r w:rsidR="0043623F">
        <w:rPr>
          <w:sz w:val="24"/>
          <w:szCs w:val="24"/>
        </w:rPr>
        <w:t xml:space="preserve">eigenaren van collecties en monumenten bij wateroverlast voor specifieke problemen komen te staan die om andere en extra maatregelen vragen. Monumenten liggen vaak in inundatiegebieden: gebieden die bedoeld zijn om onder water te lopen bij wateroverlast. Er is echter sprake van oude bouwmethoden en -materialen, die bij contact met water extra gevoelig zijn en waarbij voor het nemen van beschermingsmaatregelen en bij herstel vaak specifieke deskundigheid nodig is. Herstel is bij monumenten </w:t>
      </w:r>
      <w:r w:rsidR="0078775B">
        <w:rPr>
          <w:sz w:val="24"/>
          <w:szCs w:val="24"/>
        </w:rPr>
        <w:t xml:space="preserve">en instellingen </w:t>
      </w:r>
      <w:r w:rsidR="0043623F">
        <w:rPr>
          <w:sz w:val="24"/>
          <w:szCs w:val="24"/>
        </w:rPr>
        <w:t xml:space="preserve">meestal ook extra kostbaar. </w:t>
      </w:r>
    </w:p>
    <w:p w14:paraId="3DA4B033" w14:textId="77777777" w:rsidR="0078775B" w:rsidRDefault="0078775B">
      <w:pPr>
        <w:rPr>
          <w:b/>
          <w:sz w:val="24"/>
          <w:szCs w:val="24"/>
        </w:rPr>
      </w:pPr>
    </w:p>
    <w:p w14:paraId="66F9167B" w14:textId="577DCCBE" w:rsidR="00283D12" w:rsidRPr="0078775B" w:rsidRDefault="00470A85">
      <w:pPr>
        <w:rPr>
          <w:b/>
          <w:sz w:val="24"/>
          <w:szCs w:val="24"/>
        </w:rPr>
      </w:pPr>
      <w:r>
        <w:rPr>
          <w:b/>
          <w:sz w:val="24"/>
          <w:szCs w:val="24"/>
        </w:rPr>
        <w:t>Aanbieden draaiboek</w:t>
      </w:r>
    </w:p>
    <w:p w14:paraId="1CAC8FB2" w14:textId="77777777" w:rsidR="0078775B" w:rsidRDefault="0078775B" w:rsidP="00831A7E">
      <w:pPr>
        <w:rPr>
          <w:sz w:val="24"/>
          <w:szCs w:val="24"/>
        </w:rPr>
      </w:pPr>
      <w:r>
        <w:rPr>
          <w:sz w:val="24"/>
          <w:szCs w:val="24"/>
        </w:rPr>
        <w:lastRenderedPageBreak/>
        <w:t>De draaiboeken zijn op</w:t>
      </w:r>
      <w:r w:rsidR="00831A7E" w:rsidRPr="00C833AB">
        <w:rPr>
          <w:sz w:val="24"/>
          <w:szCs w:val="24"/>
        </w:rPr>
        <w:t xml:space="preserve"> 25 oktober door gedeputeerde Michael Theuns </w:t>
      </w:r>
      <w:r>
        <w:rPr>
          <w:sz w:val="24"/>
          <w:szCs w:val="24"/>
        </w:rPr>
        <w:t xml:space="preserve">aangeboden aan </w:t>
      </w:r>
      <w:r w:rsidR="00C833AB">
        <w:rPr>
          <w:sz w:val="24"/>
          <w:szCs w:val="24"/>
        </w:rPr>
        <w:t>Bert M</w:t>
      </w:r>
      <w:r w:rsidR="00BE3BF9">
        <w:rPr>
          <w:sz w:val="24"/>
          <w:szCs w:val="24"/>
        </w:rPr>
        <w:t>e</w:t>
      </w:r>
      <w:r w:rsidR="00C833AB">
        <w:rPr>
          <w:sz w:val="24"/>
          <w:szCs w:val="24"/>
        </w:rPr>
        <w:t>nnings, directeur van het Limburgs Museum en aan Peter Thissen, directeur</w:t>
      </w:r>
      <w:r w:rsidR="008B7C05">
        <w:rPr>
          <w:sz w:val="24"/>
          <w:szCs w:val="24"/>
        </w:rPr>
        <w:t>-</w:t>
      </w:r>
      <w:r w:rsidR="00C833AB">
        <w:rPr>
          <w:sz w:val="24"/>
          <w:szCs w:val="24"/>
        </w:rPr>
        <w:t>bestuurder van de Monumentenwacht Limburg.</w:t>
      </w:r>
      <w:r>
        <w:rPr>
          <w:sz w:val="24"/>
          <w:szCs w:val="24"/>
        </w:rPr>
        <w:t xml:space="preserve"> </w:t>
      </w:r>
    </w:p>
    <w:p w14:paraId="43002E67" w14:textId="6493414C" w:rsidR="0078775B" w:rsidRDefault="0078775B" w:rsidP="00831A7E">
      <w:pPr>
        <w:rPr>
          <w:sz w:val="24"/>
          <w:szCs w:val="24"/>
        </w:rPr>
      </w:pPr>
      <w:r>
        <w:rPr>
          <w:sz w:val="24"/>
          <w:szCs w:val="24"/>
        </w:rPr>
        <w:t>“</w:t>
      </w:r>
      <w:r w:rsidRPr="0078775B">
        <w:rPr>
          <w:sz w:val="24"/>
          <w:szCs w:val="24"/>
        </w:rPr>
        <w:t>Het is enorm belangrijk om goed voorbereid te zijn op wateroverlast en zo onze waardevolle c</w:t>
      </w:r>
      <w:r>
        <w:rPr>
          <w:sz w:val="24"/>
          <w:szCs w:val="24"/>
        </w:rPr>
        <w:t>ollecties te kunnen beschermen,”</w:t>
      </w:r>
      <w:r w:rsidRPr="0078775B">
        <w:rPr>
          <w:sz w:val="24"/>
          <w:szCs w:val="24"/>
        </w:rPr>
        <w:t xml:space="preserve"> vertelt Bert Mennings, dire</w:t>
      </w:r>
      <w:r>
        <w:rPr>
          <w:sz w:val="24"/>
          <w:szCs w:val="24"/>
        </w:rPr>
        <w:t>cteur van het Limburgs Museum. “</w:t>
      </w:r>
      <w:r w:rsidRPr="0078775B">
        <w:rPr>
          <w:sz w:val="24"/>
          <w:szCs w:val="24"/>
        </w:rPr>
        <w:t>Afgelopen jaren hebben we in ons museumgebouw meerdere keren ervaren welke risico’s zich bij hoogwater kunnen voordoen. Tijdens het hoogwater in 2021 hebben we met man en macht vele collectiestukken verplaatst, zodat ze bij een eventu</w:t>
      </w:r>
      <w:r>
        <w:rPr>
          <w:sz w:val="24"/>
          <w:szCs w:val="24"/>
        </w:rPr>
        <w:t xml:space="preserve">ele overstroming veilig bleven.” </w:t>
      </w:r>
    </w:p>
    <w:p w14:paraId="05718E69" w14:textId="42AF4F45" w:rsidR="00831A7E" w:rsidRDefault="00470A85" w:rsidP="00831A7E">
      <w:pPr>
        <w:rPr>
          <w:sz w:val="24"/>
          <w:szCs w:val="24"/>
        </w:rPr>
      </w:pPr>
      <w:bookmarkStart w:id="0" w:name="_GoBack"/>
      <w:bookmarkEnd w:id="0"/>
      <w:r>
        <w:rPr>
          <w:sz w:val="24"/>
          <w:szCs w:val="24"/>
        </w:rPr>
        <w:t xml:space="preserve">Deze </w:t>
      </w:r>
      <w:r w:rsidR="0078775B">
        <w:rPr>
          <w:sz w:val="24"/>
          <w:szCs w:val="24"/>
        </w:rPr>
        <w:t>voorbereidin</w:t>
      </w:r>
      <w:r>
        <w:rPr>
          <w:sz w:val="24"/>
          <w:szCs w:val="24"/>
        </w:rPr>
        <w:t xml:space="preserve">g vraagt ook om nieuwe samenwerkingen. </w:t>
      </w:r>
      <w:r>
        <w:rPr>
          <w:sz w:val="24"/>
          <w:szCs w:val="24"/>
        </w:rPr>
        <w:t>Peter Thissen</w:t>
      </w:r>
      <w:r>
        <w:rPr>
          <w:sz w:val="24"/>
          <w:szCs w:val="24"/>
        </w:rPr>
        <w:t>: “</w:t>
      </w:r>
      <w:r w:rsidR="0078775B" w:rsidRPr="0078775B">
        <w:rPr>
          <w:sz w:val="24"/>
          <w:szCs w:val="24"/>
        </w:rPr>
        <w:t>Monumentenwacht Limburg realiseert zich dat preventieve bouwkundige inspecties ter voorkoming van waterschade een wezenlijk onderdeel van haar dienstverlening is geworden.</w:t>
      </w:r>
      <w:r>
        <w:rPr>
          <w:sz w:val="24"/>
          <w:szCs w:val="24"/>
        </w:rPr>
        <w:t>”</w:t>
      </w:r>
    </w:p>
    <w:p w14:paraId="4B3D4B89" w14:textId="003CF8F3" w:rsidR="00572013" w:rsidRPr="004031AF" w:rsidRDefault="00572013">
      <w:pPr>
        <w:rPr>
          <w:sz w:val="24"/>
          <w:szCs w:val="24"/>
        </w:rPr>
      </w:pPr>
    </w:p>
    <w:p w14:paraId="7656922D" w14:textId="5BFD2617" w:rsidR="00283D12" w:rsidRPr="00283D12" w:rsidRDefault="00A74A8C" w:rsidP="004031AF">
      <w:pPr>
        <w:rPr>
          <w:rStyle w:val="Kop1Char"/>
          <w:rFonts w:asciiTheme="minorHAnsi" w:hAnsiTheme="minorHAnsi" w:cstheme="minorHAnsi"/>
          <w:b/>
          <w:bCs/>
          <w:color w:val="auto"/>
          <w:sz w:val="24"/>
          <w:szCs w:val="24"/>
        </w:rPr>
      </w:pPr>
      <w:r>
        <w:rPr>
          <w:rStyle w:val="Kop1Char"/>
          <w:rFonts w:asciiTheme="minorHAnsi" w:hAnsiTheme="minorHAnsi" w:cstheme="minorHAnsi"/>
          <w:b/>
          <w:bCs/>
          <w:color w:val="auto"/>
          <w:sz w:val="24"/>
          <w:szCs w:val="24"/>
        </w:rPr>
        <w:t>Programma Waterveiligheid en Ruimte Limburg</w:t>
      </w:r>
    </w:p>
    <w:p w14:paraId="2734771B" w14:textId="7C62B769" w:rsidR="00A74A8C" w:rsidRDefault="00A74A8C" w:rsidP="004031AF">
      <w:pPr>
        <w:rPr>
          <w:rStyle w:val="Kop1Char"/>
          <w:rFonts w:asciiTheme="minorHAnsi" w:hAnsiTheme="minorHAnsi" w:cstheme="minorHAnsi"/>
          <w:color w:val="auto"/>
          <w:sz w:val="24"/>
          <w:szCs w:val="24"/>
        </w:rPr>
      </w:pPr>
      <w:r w:rsidRPr="00A74A8C">
        <w:rPr>
          <w:rStyle w:val="Kop1Char"/>
          <w:rFonts w:asciiTheme="minorHAnsi" w:hAnsiTheme="minorHAnsi" w:cstheme="minorHAnsi"/>
          <w:color w:val="auto"/>
          <w:sz w:val="24"/>
          <w:szCs w:val="24"/>
        </w:rPr>
        <w:t>Een watercrisis zoals die van 2021 kunnen we niet voorkomen, maar we kunnen ons er wel beter op voorbereiden. Hiervoor is het programma Waterveiligheid en Ruimte Limburg (WRL) opgericht. In WRL werken Waterschap Limburg, Provincie Limburg, de Limburgse gemeenten en het Rijk samen om Limburg beter te voor te bereiden op en te beschermen tegen wateroverlast. Het kost tijd om dit op een goede manier te doen. Ook is waterlast nooit helemaal te voorkomen. Het is daarom belangrijk dat inwoners</w:t>
      </w:r>
      <w:r>
        <w:rPr>
          <w:rStyle w:val="Kop1Char"/>
          <w:rFonts w:asciiTheme="minorHAnsi" w:hAnsiTheme="minorHAnsi" w:cstheme="minorHAnsi"/>
          <w:color w:val="auto"/>
          <w:sz w:val="24"/>
          <w:szCs w:val="24"/>
        </w:rPr>
        <w:t xml:space="preserve">, bedrijven en instellingen in Limburg weten wat ze </w:t>
      </w:r>
      <w:r w:rsidRPr="00A74A8C">
        <w:rPr>
          <w:rStyle w:val="Kop1Char"/>
          <w:rFonts w:asciiTheme="minorHAnsi" w:hAnsiTheme="minorHAnsi" w:cstheme="minorHAnsi"/>
          <w:color w:val="auto"/>
          <w:sz w:val="24"/>
          <w:szCs w:val="24"/>
        </w:rPr>
        <w:t>kunnen doen om schade door wateroverlast te verminderen. Zo werken we samen aan een waterveiliger Limburg.</w:t>
      </w:r>
    </w:p>
    <w:p w14:paraId="6A1CE9A8" w14:textId="2E7D4A1E" w:rsidR="00572013" w:rsidRDefault="00572013">
      <w:pPr>
        <w:pBdr>
          <w:bottom w:val="single" w:sz="12" w:space="1" w:color="auto"/>
        </w:pBdr>
      </w:pPr>
    </w:p>
    <w:p w14:paraId="4A958E36" w14:textId="667D8608" w:rsidR="004031AF" w:rsidRDefault="004031AF"/>
    <w:p w14:paraId="3ADBC56A" w14:textId="77777777" w:rsidR="004031AF" w:rsidRPr="004031AF" w:rsidRDefault="004031AF">
      <w:pPr>
        <w:rPr>
          <w:b/>
          <w:bCs/>
        </w:rPr>
      </w:pPr>
      <w:r w:rsidRPr="004031AF">
        <w:rPr>
          <w:b/>
          <w:bCs/>
        </w:rPr>
        <w:t>Noot voor de redactie:</w:t>
      </w:r>
    </w:p>
    <w:p w14:paraId="788BC7A1" w14:textId="5C8FF709" w:rsidR="004031AF" w:rsidRDefault="004031AF">
      <w:r>
        <w:t>Mocht u nadere informatie wensen, dan kunt u contact opnemen met :</w:t>
      </w:r>
    </w:p>
    <w:p w14:paraId="47C83BA0" w14:textId="521AB107" w:rsidR="004031AF" w:rsidRDefault="004031AF"/>
    <w:p w14:paraId="6506455D" w14:textId="4952ED97" w:rsidR="00EA5AF6" w:rsidRDefault="00EA5AF6">
      <w:r>
        <w:t>De beide draaiboeken zijn als bijlagen bij dit persbericht gevoegd.</w:t>
      </w:r>
    </w:p>
    <w:sectPr w:rsidR="00EA5AF6" w:rsidSect="00B557BE">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6339" w14:textId="77777777" w:rsidR="00572013" w:rsidRDefault="00572013" w:rsidP="00572013">
      <w:pPr>
        <w:spacing w:line="240" w:lineRule="auto"/>
      </w:pPr>
      <w:r>
        <w:separator/>
      </w:r>
    </w:p>
  </w:endnote>
  <w:endnote w:type="continuationSeparator" w:id="0">
    <w:p w14:paraId="7DA30258" w14:textId="77777777" w:rsidR="00572013" w:rsidRDefault="00572013" w:rsidP="00572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F856" w14:textId="77777777" w:rsidR="00572013" w:rsidRDefault="00572013" w:rsidP="00572013">
      <w:pPr>
        <w:spacing w:line="240" w:lineRule="auto"/>
      </w:pPr>
      <w:r>
        <w:separator/>
      </w:r>
    </w:p>
  </w:footnote>
  <w:footnote w:type="continuationSeparator" w:id="0">
    <w:p w14:paraId="7CA567B6" w14:textId="77777777" w:rsidR="00572013" w:rsidRDefault="00572013" w:rsidP="005720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13"/>
    <w:rsid w:val="00151A47"/>
    <w:rsid w:val="002329A4"/>
    <w:rsid w:val="00247F89"/>
    <w:rsid w:val="00283D12"/>
    <w:rsid w:val="003C3570"/>
    <w:rsid w:val="003C6A57"/>
    <w:rsid w:val="004031AF"/>
    <w:rsid w:val="00414551"/>
    <w:rsid w:val="0043623F"/>
    <w:rsid w:val="00470A85"/>
    <w:rsid w:val="00572013"/>
    <w:rsid w:val="0059632E"/>
    <w:rsid w:val="005C7BE9"/>
    <w:rsid w:val="0060336D"/>
    <w:rsid w:val="006264DC"/>
    <w:rsid w:val="00692828"/>
    <w:rsid w:val="007262F8"/>
    <w:rsid w:val="00761FE3"/>
    <w:rsid w:val="0078775B"/>
    <w:rsid w:val="007A03F4"/>
    <w:rsid w:val="007D2613"/>
    <w:rsid w:val="00831A7E"/>
    <w:rsid w:val="008B7C05"/>
    <w:rsid w:val="008D3F73"/>
    <w:rsid w:val="0098456A"/>
    <w:rsid w:val="0099549B"/>
    <w:rsid w:val="009B2B78"/>
    <w:rsid w:val="009D0AA5"/>
    <w:rsid w:val="00A45890"/>
    <w:rsid w:val="00A74A8C"/>
    <w:rsid w:val="00B251CE"/>
    <w:rsid w:val="00B557BE"/>
    <w:rsid w:val="00BD4722"/>
    <w:rsid w:val="00BE3BF9"/>
    <w:rsid w:val="00C410CD"/>
    <w:rsid w:val="00C61C88"/>
    <w:rsid w:val="00C833AB"/>
    <w:rsid w:val="00CC56F5"/>
    <w:rsid w:val="00D16597"/>
    <w:rsid w:val="00EA5AF6"/>
    <w:rsid w:val="00EA6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7054"/>
  <w15:chartTrackingRefBased/>
  <w15:docId w15:val="{395BFA19-5D7B-4449-BDB9-87E468E8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031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7201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72013"/>
    <w:rPr>
      <w:sz w:val="20"/>
      <w:szCs w:val="20"/>
    </w:rPr>
  </w:style>
  <w:style w:type="character" w:styleId="Voetnootmarkering">
    <w:name w:val="footnote reference"/>
    <w:basedOn w:val="Standaardalinea-lettertype"/>
    <w:uiPriority w:val="99"/>
    <w:semiHidden/>
    <w:unhideWhenUsed/>
    <w:rsid w:val="00572013"/>
    <w:rPr>
      <w:vertAlign w:val="superscript"/>
    </w:rPr>
  </w:style>
  <w:style w:type="character" w:customStyle="1" w:styleId="Kop1Char">
    <w:name w:val="Kop 1 Char"/>
    <w:basedOn w:val="Standaardalinea-lettertype"/>
    <w:link w:val="Kop1"/>
    <w:uiPriority w:val="9"/>
    <w:rsid w:val="004031A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031AF"/>
    <w:rPr>
      <w:sz w:val="16"/>
      <w:szCs w:val="16"/>
    </w:rPr>
  </w:style>
  <w:style w:type="paragraph" w:styleId="Geenafstand">
    <w:name w:val="No Spacing"/>
    <w:basedOn w:val="Standaard"/>
    <w:uiPriority w:val="1"/>
    <w:qFormat/>
    <w:rsid w:val="00283D12"/>
    <w:pPr>
      <w:spacing w:line="240" w:lineRule="auto"/>
    </w:pPr>
    <w:rPr>
      <w:rFonts w:ascii="Calibri" w:hAnsi="Calibri" w:cs="Calibri"/>
    </w:rPr>
  </w:style>
  <w:style w:type="paragraph" w:styleId="Revisie">
    <w:name w:val="Revision"/>
    <w:hidden/>
    <w:uiPriority w:val="99"/>
    <w:semiHidden/>
    <w:rsid w:val="009D0AA5"/>
    <w:pPr>
      <w:spacing w:line="240" w:lineRule="auto"/>
    </w:pPr>
  </w:style>
  <w:style w:type="paragraph" w:styleId="Tekstopmerking">
    <w:name w:val="annotation text"/>
    <w:basedOn w:val="Standaard"/>
    <w:link w:val="TekstopmerkingChar"/>
    <w:uiPriority w:val="99"/>
    <w:semiHidden/>
    <w:unhideWhenUsed/>
    <w:rsid w:val="009954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549B"/>
    <w:rPr>
      <w:sz w:val="20"/>
      <w:szCs w:val="20"/>
    </w:rPr>
  </w:style>
  <w:style w:type="paragraph" w:styleId="Onderwerpvanopmerking">
    <w:name w:val="annotation subject"/>
    <w:basedOn w:val="Tekstopmerking"/>
    <w:next w:val="Tekstopmerking"/>
    <w:link w:val="OnderwerpvanopmerkingChar"/>
    <w:uiPriority w:val="99"/>
    <w:semiHidden/>
    <w:unhideWhenUsed/>
    <w:rsid w:val="0099549B"/>
    <w:rPr>
      <w:b/>
      <w:bCs/>
    </w:rPr>
  </w:style>
  <w:style w:type="character" w:customStyle="1" w:styleId="OnderwerpvanopmerkingChar">
    <w:name w:val="Onderwerp van opmerking Char"/>
    <w:basedOn w:val="TekstopmerkingChar"/>
    <w:link w:val="Onderwerpvanopmerking"/>
    <w:uiPriority w:val="99"/>
    <w:semiHidden/>
    <w:rsid w:val="0099549B"/>
    <w:rPr>
      <w:b/>
      <w:bCs/>
      <w:sz w:val="20"/>
      <w:szCs w:val="20"/>
    </w:rPr>
  </w:style>
  <w:style w:type="paragraph" w:styleId="Ballontekst">
    <w:name w:val="Balloon Text"/>
    <w:basedOn w:val="Standaard"/>
    <w:link w:val="BallontekstChar"/>
    <w:uiPriority w:val="99"/>
    <w:semiHidden/>
    <w:unhideWhenUsed/>
    <w:rsid w:val="0099549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5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Snijders</dc:creator>
  <cp:keywords/>
  <dc:description/>
  <cp:lastModifiedBy>Breugelmans, Iris</cp:lastModifiedBy>
  <cp:revision>19</cp:revision>
  <cp:lastPrinted>2023-10-19T11:51:00Z</cp:lastPrinted>
  <dcterms:created xsi:type="dcterms:W3CDTF">2023-10-13T13:55:00Z</dcterms:created>
  <dcterms:modified xsi:type="dcterms:W3CDTF">2023-10-19T13:12:00Z</dcterms:modified>
</cp:coreProperties>
</file>